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AD" w:rsidRPr="002468A9" w:rsidRDefault="0068537D">
      <w:pPr>
        <w:rPr>
          <w:rFonts w:asciiTheme="minorHAnsi" w:hAnsiTheme="minorHAnsi"/>
          <w:b/>
          <w:sz w:val="22"/>
          <w:szCs w:val="20"/>
        </w:rPr>
      </w:pPr>
      <w:r w:rsidRPr="002468A9">
        <w:rPr>
          <w:rFonts w:asciiTheme="minorHAnsi" w:hAnsiTheme="minorHAnsi"/>
          <w:b/>
          <w:sz w:val="22"/>
          <w:szCs w:val="20"/>
        </w:rPr>
        <w:t xml:space="preserve">Forslag til </w:t>
      </w:r>
      <w:r w:rsidR="00B94DD4" w:rsidRPr="002468A9">
        <w:rPr>
          <w:rFonts w:asciiTheme="minorHAnsi" w:hAnsiTheme="minorHAnsi"/>
          <w:b/>
          <w:sz w:val="22"/>
          <w:szCs w:val="20"/>
        </w:rPr>
        <w:t>DWSU-budget 2015</w:t>
      </w:r>
    </w:p>
    <w:p w:rsidR="00B94DD4" w:rsidRPr="0068537D" w:rsidRDefault="00B94DD4">
      <w:pPr>
        <w:rPr>
          <w:rFonts w:asciiTheme="minorHAnsi" w:hAnsiTheme="minorHAnsi"/>
          <w:szCs w:val="20"/>
        </w:rPr>
      </w:pPr>
    </w:p>
    <w:p w:rsidR="0068537D" w:rsidRPr="0068537D" w:rsidRDefault="0068537D">
      <w:pPr>
        <w:rPr>
          <w:rFonts w:asciiTheme="minorHAnsi" w:hAnsiTheme="minorHAnsi"/>
          <w:szCs w:val="20"/>
        </w:rPr>
      </w:pPr>
      <w:r w:rsidRPr="0068537D">
        <w:rPr>
          <w:rFonts w:asciiTheme="minorHAnsi" w:hAnsiTheme="minorHAnsi"/>
          <w:szCs w:val="20"/>
        </w:rPr>
        <w:t xml:space="preserve">Med det aftalte kontingent på 250 kr. pr. mand og en overførsel fra 2014 på 705 kr. har DWSU primo 2015 en samlet aktivmasse på 3.455 kr. Beløbet foreslås disponeret med en </w:t>
      </w:r>
      <w:r w:rsidR="00753E05" w:rsidRPr="00565C89">
        <w:rPr>
          <w:rFonts w:asciiTheme="minorHAnsi" w:hAnsiTheme="minorHAnsi"/>
          <w:i/>
          <w:szCs w:val="20"/>
        </w:rPr>
        <w:t>forventet</w:t>
      </w:r>
      <w:r w:rsidR="00753E05">
        <w:rPr>
          <w:rFonts w:asciiTheme="minorHAnsi" w:hAnsiTheme="minorHAnsi"/>
          <w:szCs w:val="20"/>
        </w:rPr>
        <w:t xml:space="preserve"> præmieudlodning på </w:t>
      </w:r>
      <w:r w:rsidR="00913568">
        <w:rPr>
          <w:rFonts w:asciiTheme="minorHAnsi" w:hAnsiTheme="minorHAnsi"/>
          <w:szCs w:val="20"/>
        </w:rPr>
        <w:t xml:space="preserve">ca. </w:t>
      </w:r>
      <w:r w:rsidRPr="0068537D">
        <w:rPr>
          <w:rFonts w:asciiTheme="minorHAnsi" w:hAnsiTheme="minorHAnsi"/>
          <w:szCs w:val="20"/>
        </w:rPr>
        <w:t xml:space="preserve">2.700 kr. </w:t>
      </w:r>
      <w:r w:rsidR="00565C89">
        <w:rPr>
          <w:rFonts w:asciiTheme="minorHAnsi" w:hAnsiTheme="minorHAnsi"/>
          <w:szCs w:val="20"/>
        </w:rPr>
        <w:t xml:space="preserve">og </w:t>
      </w:r>
      <w:r>
        <w:rPr>
          <w:rFonts w:asciiTheme="minorHAnsi" w:hAnsiTheme="minorHAnsi"/>
          <w:szCs w:val="20"/>
        </w:rPr>
        <w:t xml:space="preserve">en </w:t>
      </w:r>
      <w:r w:rsidR="00565C89">
        <w:rPr>
          <w:rFonts w:asciiTheme="minorHAnsi" w:hAnsiTheme="minorHAnsi"/>
          <w:szCs w:val="20"/>
        </w:rPr>
        <w:t xml:space="preserve">pulje til </w:t>
      </w:r>
      <w:r>
        <w:rPr>
          <w:rFonts w:asciiTheme="minorHAnsi" w:hAnsiTheme="minorHAnsi"/>
          <w:szCs w:val="20"/>
        </w:rPr>
        <w:t>reserve</w:t>
      </w:r>
      <w:r w:rsidR="00565C89">
        <w:rPr>
          <w:rFonts w:asciiTheme="minorHAnsi" w:hAnsiTheme="minorHAnsi"/>
          <w:szCs w:val="20"/>
        </w:rPr>
        <w:t>r/uforudsete udgifter</w:t>
      </w:r>
      <w:r>
        <w:rPr>
          <w:rFonts w:asciiTheme="minorHAnsi" w:hAnsiTheme="minorHAnsi"/>
          <w:szCs w:val="20"/>
        </w:rPr>
        <w:t xml:space="preserve"> på 755 kr.</w:t>
      </w:r>
      <w:r w:rsidR="000A78E7">
        <w:rPr>
          <w:rFonts w:asciiTheme="minorHAnsi" w:hAnsiTheme="minorHAnsi"/>
          <w:szCs w:val="20"/>
        </w:rPr>
        <w:t>, jf. nedenstående</w:t>
      </w:r>
      <w:r w:rsidR="001620F0">
        <w:rPr>
          <w:rFonts w:asciiTheme="minorHAnsi" w:hAnsiTheme="minorHAnsi"/>
          <w:szCs w:val="20"/>
        </w:rPr>
        <w:t>.</w:t>
      </w:r>
    </w:p>
    <w:p w:rsidR="0068537D" w:rsidRPr="0068537D" w:rsidRDefault="0068537D">
      <w:pPr>
        <w:rPr>
          <w:rFonts w:asciiTheme="minorHAnsi" w:hAnsiTheme="minorHAnsi"/>
          <w:szCs w:val="20"/>
        </w:rPr>
      </w:pPr>
    </w:p>
    <w:p w:rsidR="001620F0" w:rsidRDefault="0068537D">
      <w:pPr>
        <w:rPr>
          <w:rFonts w:asciiTheme="minorHAnsi" w:hAnsiTheme="minorHAnsi"/>
          <w:szCs w:val="20"/>
        </w:rPr>
      </w:pPr>
      <w:r w:rsidRPr="0068537D">
        <w:rPr>
          <w:rFonts w:asciiTheme="minorHAnsi" w:hAnsiTheme="minorHAnsi"/>
          <w:szCs w:val="20"/>
        </w:rPr>
        <w:t xml:space="preserve">Der gives præmie til </w:t>
      </w:r>
      <w:r w:rsidR="001620F0">
        <w:rPr>
          <w:rFonts w:asciiTheme="minorHAnsi" w:hAnsiTheme="minorHAnsi"/>
          <w:szCs w:val="20"/>
        </w:rPr>
        <w:t>nr. 1-5 i både den numeriske række og handicaprækken</w:t>
      </w:r>
      <w:r>
        <w:rPr>
          <w:rFonts w:asciiTheme="minorHAnsi" w:hAnsiTheme="minorHAnsi"/>
          <w:szCs w:val="20"/>
        </w:rPr>
        <w:t xml:space="preserve"> fordelt med hhv. 30, 25, 20, 15 og 10 pct. fra </w:t>
      </w:r>
      <w:r w:rsidR="001620F0">
        <w:rPr>
          <w:rFonts w:asciiTheme="minorHAnsi" w:hAnsiTheme="minorHAnsi"/>
          <w:szCs w:val="20"/>
        </w:rPr>
        <w:t>to lige store puljer</w:t>
      </w:r>
      <w:r w:rsidR="00565C89">
        <w:rPr>
          <w:rFonts w:asciiTheme="minorHAnsi" w:hAnsiTheme="minorHAnsi"/>
          <w:szCs w:val="20"/>
        </w:rPr>
        <w:t xml:space="preserve"> af 1.500 kr.</w:t>
      </w:r>
      <w:r w:rsidR="001620F0">
        <w:rPr>
          <w:rFonts w:asciiTheme="minorHAnsi" w:hAnsiTheme="minorHAnsi"/>
          <w:szCs w:val="20"/>
        </w:rPr>
        <w:t>,</w:t>
      </w:r>
      <w:r>
        <w:rPr>
          <w:rFonts w:asciiTheme="minorHAnsi" w:hAnsiTheme="minorHAnsi"/>
          <w:szCs w:val="20"/>
        </w:rPr>
        <w:t xml:space="preserve"> dog således at ingen</w:t>
      </w:r>
      <w:r w:rsidR="001620F0">
        <w:rPr>
          <w:rFonts w:asciiTheme="minorHAnsi" w:hAnsiTheme="minorHAnsi"/>
          <w:szCs w:val="20"/>
        </w:rPr>
        <w:t xml:space="preserve"> spiller kan modtage præmie i begge rækker samtidig. I tilfælde af, at en spiller placeres mellem nr. 1 og 5 i begge række bortfalder derfor præmien med den laveste værdi. </w:t>
      </w:r>
      <w:r w:rsidR="000A78E7">
        <w:rPr>
          <w:rFonts w:asciiTheme="minorHAnsi" w:hAnsiTheme="minorHAnsi"/>
          <w:szCs w:val="20"/>
        </w:rPr>
        <w:t xml:space="preserve">Erfaringsmæssigt er det forventeligt, at flere spillere vil figurer blandt nr. 1-5 i begge rækker og dermed blive ”ramt” af præmiebortfald. </w:t>
      </w:r>
      <w:r w:rsidR="003C0269">
        <w:rPr>
          <w:rFonts w:asciiTheme="minorHAnsi" w:hAnsiTheme="minorHAnsi"/>
          <w:szCs w:val="20"/>
        </w:rPr>
        <w:t xml:space="preserve">På baggrund af erfaringstal er ”præmiebortfaldet” for 2015 budgetteret forsigtigt til </w:t>
      </w:r>
      <w:r w:rsidR="003C0269" w:rsidRPr="003C0269">
        <w:rPr>
          <w:rFonts w:asciiTheme="minorHAnsi" w:hAnsiTheme="minorHAnsi"/>
          <w:szCs w:val="20"/>
        </w:rPr>
        <w:t xml:space="preserve">15 % af </w:t>
      </w:r>
      <w:r w:rsidR="003C0269">
        <w:rPr>
          <w:rFonts w:asciiTheme="minorHAnsi" w:hAnsiTheme="minorHAnsi"/>
          <w:szCs w:val="20"/>
        </w:rPr>
        <w:t xml:space="preserve">den </w:t>
      </w:r>
      <w:r w:rsidR="000A78E7">
        <w:rPr>
          <w:rFonts w:asciiTheme="minorHAnsi" w:hAnsiTheme="minorHAnsi"/>
          <w:szCs w:val="20"/>
        </w:rPr>
        <w:t xml:space="preserve">samlede max-udlodning </w:t>
      </w:r>
      <w:r w:rsidR="003C0269" w:rsidRPr="003C0269">
        <w:rPr>
          <w:rFonts w:asciiTheme="minorHAnsi" w:hAnsiTheme="minorHAnsi"/>
          <w:szCs w:val="20"/>
        </w:rPr>
        <w:t>i numerisk række og handicap-rækken</w:t>
      </w:r>
      <w:r w:rsidR="000A78E7">
        <w:rPr>
          <w:rFonts w:asciiTheme="minorHAnsi" w:hAnsiTheme="minorHAnsi"/>
          <w:szCs w:val="20"/>
        </w:rPr>
        <w:t xml:space="preserve"> (3.000 </w:t>
      </w:r>
      <w:proofErr w:type="spellStart"/>
      <w:r w:rsidR="000A78E7">
        <w:rPr>
          <w:rFonts w:asciiTheme="minorHAnsi" w:hAnsiTheme="minorHAnsi"/>
          <w:szCs w:val="20"/>
        </w:rPr>
        <w:t>kr</w:t>
      </w:r>
      <w:proofErr w:type="spellEnd"/>
      <w:r w:rsidR="000A78E7">
        <w:rPr>
          <w:rFonts w:asciiTheme="minorHAnsi" w:hAnsiTheme="minorHAnsi"/>
          <w:szCs w:val="20"/>
        </w:rPr>
        <w:t>)</w:t>
      </w:r>
      <w:r w:rsidR="00565C89">
        <w:rPr>
          <w:rFonts w:asciiTheme="minorHAnsi" w:hAnsiTheme="minorHAnsi"/>
          <w:szCs w:val="20"/>
        </w:rPr>
        <w:t>. T</w:t>
      </w:r>
      <w:r w:rsidR="003C0269" w:rsidRPr="003C0269">
        <w:rPr>
          <w:rFonts w:asciiTheme="minorHAnsi" w:hAnsiTheme="minorHAnsi"/>
          <w:szCs w:val="20"/>
        </w:rPr>
        <w:t>il sammenligning ville præmiebortfaldet med samme fordelingsnøgle</w:t>
      </w:r>
      <w:r w:rsidR="007F0A28">
        <w:rPr>
          <w:rFonts w:asciiTheme="minorHAnsi" w:hAnsiTheme="minorHAnsi"/>
          <w:szCs w:val="20"/>
        </w:rPr>
        <w:t xml:space="preserve"> som i 2015 </w:t>
      </w:r>
      <w:r w:rsidR="003C0269" w:rsidRPr="003C0269">
        <w:rPr>
          <w:rFonts w:asciiTheme="minorHAnsi" w:hAnsiTheme="minorHAnsi"/>
          <w:szCs w:val="20"/>
        </w:rPr>
        <w:t xml:space="preserve">i praksis have været hhv. </w:t>
      </w:r>
      <w:r w:rsidR="003C0269" w:rsidRPr="0068537D">
        <w:rPr>
          <w:rFonts w:asciiTheme="minorHAnsi" w:hAnsiTheme="minorHAnsi"/>
          <w:szCs w:val="20"/>
        </w:rPr>
        <w:t>23, 28 og 30 pct.</w:t>
      </w:r>
      <w:r w:rsidR="00565C89">
        <w:rPr>
          <w:rFonts w:asciiTheme="minorHAnsi" w:hAnsiTheme="minorHAnsi"/>
          <w:szCs w:val="20"/>
        </w:rPr>
        <w:t xml:space="preserve"> i årene 2011, 2012 og 2013</w:t>
      </w:r>
      <w:r w:rsidR="003C0269" w:rsidRPr="003C0269">
        <w:rPr>
          <w:rFonts w:asciiTheme="minorHAnsi" w:hAnsiTheme="minorHAnsi"/>
          <w:szCs w:val="20"/>
        </w:rPr>
        <w:t>.</w:t>
      </w:r>
      <w:r w:rsidR="00565C89">
        <w:rPr>
          <w:rFonts w:asciiTheme="minorHAnsi" w:hAnsiTheme="minorHAnsi"/>
          <w:szCs w:val="20"/>
        </w:rPr>
        <w:t xml:space="preserve"> </w:t>
      </w:r>
      <w:r w:rsidR="003C0269" w:rsidRPr="0068537D">
        <w:rPr>
          <w:rFonts w:asciiTheme="minorHAnsi" w:hAnsiTheme="minorHAnsi"/>
          <w:szCs w:val="20"/>
        </w:rPr>
        <w:t xml:space="preserve">  </w:t>
      </w:r>
    </w:p>
    <w:p w:rsidR="001620F0" w:rsidRDefault="001620F0">
      <w:pPr>
        <w:rPr>
          <w:rFonts w:asciiTheme="minorHAnsi" w:hAnsiTheme="minorHAnsi"/>
          <w:szCs w:val="20"/>
        </w:rPr>
      </w:pPr>
    </w:p>
    <w:p w:rsidR="001620F0" w:rsidRDefault="007F0A28">
      <w:pPr>
        <w:rPr>
          <w:rFonts w:asciiTheme="minorHAnsi" w:hAnsiTheme="minorHAnsi"/>
          <w:szCs w:val="20"/>
        </w:rPr>
      </w:pPr>
      <w:r>
        <w:rPr>
          <w:rFonts w:asciiTheme="minorHAnsi" w:hAnsiTheme="minorHAnsi"/>
          <w:szCs w:val="20"/>
        </w:rPr>
        <w:t xml:space="preserve">Derudover </w:t>
      </w:r>
      <w:r w:rsidR="001620F0">
        <w:rPr>
          <w:rFonts w:asciiTheme="minorHAnsi" w:hAnsiTheme="minorHAnsi"/>
          <w:szCs w:val="20"/>
        </w:rPr>
        <w:t>udloddes en skalpejægerpræmie blandt de spillere, der er havnet udenfor præmiegruppen i både den numeriske række og handicaprækken (dvs. som er blevet num</w:t>
      </w:r>
      <w:r w:rsidR="003C0269">
        <w:rPr>
          <w:rFonts w:asciiTheme="minorHAnsi" w:hAnsiTheme="minorHAnsi"/>
          <w:szCs w:val="20"/>
        </w:rPr>
        <w:t xml:space="preserve">mer 6 eller ringere i hver </w:t>
      </w:r>
      <w:r w:rsidR="001620F0">
        <w:rPr>
          <w:rFonts w:asciiTheme="minorHAnsi" w:hAnsiTheme="minorHAnsi"/>
          <w:szCs w:val="20"/>
        </w:rPr>
        <w:t>af disse). Skalpejægeren er den, som tager flest point fra nummer 1, 2 og 3 i sidste års turnering (dvs. i 2015 hhv. Christian, Jesper og Kåre, som blev n</w:t>
      </w:r>
      <w:r w:rsidR="003C0269">
        <w:rPr>
          <w:rFonts w:asciiTheme="minorHAnsi" w:hAnsiTheme="minorHAnsi"/>
          <w:szCs w:val="20"/>
        </w:rPr>
        <w:t>r. 1, 2 og 3 i 2014-turneringens</w:t>
      </w:r>
      <w:r w:rsidR="001620F0">
        <w:rPr>
          <w:rFonts w:asciiTheme="minorHAnsi" w:hAnsiTheme="minorHAnsi"/>
          <w:szCs w:val="20"/>
        </w:rPr>
        <w:t xml:space="preserve"> numerisk</w:t>
      </w:r>
      <w:r w:rsidR="003C0269">
        <w:rPr>
          <w:rFonts w:asciiTheme="minorHAnsi" w:hAnsiTheme="minorHAnsi"/>
          <w:szCs w:val="20"/>
        </w:rPr>
        <w:t>e</w:t>
      </w:r>
      <w:r w:rsidR="001620F0">
        <w:rPr>
          <w:rFonts w:asciiTheme="minorHAnsi" w:hAnsiTheme="minorHAnsi"/>
          <w:szCs w:val="20"/>
        </w:rPr>
        <w:t xml:space="preserve"> række). </w:t>
      </w:r>
      <w:r>
        <w:rPr>
          <w:rFonts w:asciiTheme="minorHAnsi" w:hAnsiTheme="minorHAnsi"/>
          <w:szCs w:val="20"/>
        </w:rPr>
        <w:t>Skalpepræmiens værdi svarer til værdien af en 5te plads i numerisk og handicaprækken.</w:t>
      </w:r>
    </w:p>
    <w:p w:rsidR="001620F0" w:rsidRDefault="001620F0" w:rsidP="0068537D">
      <w:pPr>
        <w:suppressAutoHyphens w:val="0"/>
        <w:spacing w:line="240" w:lineRule="auto"/>
        <w:rPr>
          <w:rFonts w:asciiTheme="minorHAnsi" w:hAnsiTheme="minorHAnsi"/>
          <w:b/>
          <w:szCs w:val="20"/>
        </w:rPr>
      </w:pPr>
    </w:p>
    <w:p w:rsidR="0068537D" w:rsidRDefault="003C0269" w:rsidP="0068537D">
      <w:pPr>
        <w:suppressAutoHyphens w:val="0"/>
        <w:spacing w:line="240" w:lineRule="auto"/>
        <w:rPr>
          <w:rFonts w:asciiTheme="minorHAnsi" w:hAnsiTheme="minorHAnsi"/>
          <w:szCs w:val="20"/>
        </w:rPr>
      </w:pPr>
      <w:r w:rsidRPr="003C0269">
        <w:rPr>
          <w:rFonts w:asciiTheme="minorHAnsi" w:hAnsiTheme="minorHAnsi"/>
          <w:szCs w:val="20"/>
        </w:rPr>
        <w:t>DWSU-budgettet for 2015 ser med disse forudsætninger således ud:</w:t>
      </w:r>
    </w:p>
    <w:p w:rsidR="0068537D" w:rsidRPr="0068537D" w:rsidRDefault="0068537D" w:rsidP="0068537D">
      <w:pPr>
        <w:suppressAutoHyphens w:val="0"/>
        <w:spacing w:line="240" w:lineRule="auto"/>
        <w:rPr>
          <w:rFonts w:asciiTheme="minorHAnsi" w:hAnsiTheme="minorHAnsi"/>
          <w:szCs w:val="20"/>
        </w:rPr>
      </w:pPr>
    </w:p>
    <w:tbl>
      <w:tblPr>
        <w:tblW w:w="7860" w:type="dxa"/>
        <w:tblInd w:w="55" w:type="dxa"/>
        <w:tblCellMar>
          <w:left w:w="70" w:type="dxa"/>
          <w:right w:w="70" w:type="dxa"/>
        </w:tblCellMar>
        <w:tblLook w:val="04A0" w:firstRow="1" w:lastRow="0" w:firstColumn="1" w:lastColumn="0" w:noHBand="0" w:noVBand="1"/>
      </w:tblPr>
      <w:tblGrid>
        <w:gridCol w:w="3960"/>
        <w:gridCol w:w="1360"/>
        <w:gridCol w:w="1360"/>
        <w:gridCol w:w="1180"/>
      </w:tblGrid>
      <w:tr w:rsidR="0068537D" w:rsidRPr="0068537D" w:rsidTr="0068537D">
        <w:trPr>
          <w:trHeight w:val="300"/>
        </w:trPr>
        <w:tc>
          <w:tcPr>
            <w:tcW w:w="3960" w:type="dxa"/>
            <w:tcBorders>
              <w:top w:val="nil"/>
              <w:left w:val="nil"/>
              <w:bottom w:val="single" w:sz="4" w:space="0" w:color="auto"/>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color w:val="000000"/>
                <w:sz w:val="22"/>
                <w:szCs w:val="22"/>
                <w:lang w:eastAsia="da-DK"/>
              </w:rPr>
            </w:pPr>
            <w:r w:rsidRPr="0068537D">
              <w:rPr>
                <w:rFonts w:ascii="Calibri" w:hAnsi="Calibri"/>
                <w:color w:val="000000"/>
                <w:sz w:val="22"/>
                <w:szCs w:val="22"/>
                <w:lang w:eastAsia="da-DK"/>
              </w:rPr>
              <w:t>De to hovedrækker</w:t>
            </w:r>
          </w:p>
        </w:tc>
        <w:tc>
          <w:tcPr>
            <w:tcW w:w="1360" w:type="dxa"/>
            <w:tcBorders>
              <w:top w:val="nil"/>
              <w:left w:val="nil"/>
              <w:bottom w:val="single" w:sz="4" w:space="0" w:color="auto"/>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Numerisk</w:t>
            </w:r>
          </w:p>
        </w:tc>
        <w:tc>
          <w:tcPr>
            <w:tcW w:w="1360" w:type="dxa"/>
            <w:tcBorders>
              <w:top w:val="nil"/>
              <w:left w:val="nil"/>
              <w:bottom w:val="single" w:sz="4" w:space="0" w:color="auto"/>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Handicap</w:t>
            </w:r>
          </w:p>
        </w:tc>
        <w:tc>
          <w:tcPr>
            <w:tcW w:w="1180" w:type="dxa"/>
            <w:tcBorders>
              <w:top w:val="nil"/>
              <w:left w:val="nil"/>
              <w:bottom w:val="single" w:sz="4" w:space="0" w:color="auto"/>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I alt</w:t>
            </w:r>
          </w:p>
        </w:tc>
      </w:tr>
      <w:tr w:rsidR="0068537D" w:rsidRPr="0068537D" w:rsidTr="0068537D">
        <w:trPr>
          <w:trHeight w:val="300"/>
        </w:trPr>
        <w:tc>
          <w:tcPr>
            <w:tcW w:w="39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color w:val="000000"/>
                <w:sz w:val="22"/>
                <w:szCs w:val="22"/>
                <w:lang w:eastAsia="da-DK"/>
              </w:rPr>
            </w:pPr>
            <w:r w:rsidRPr="0068537D">
              <w:rPr>
                <w:rFonts w:ascii="Calibri" w:hAnsi="Calibri"/>
                <w:color w:val="000000"/>
                <w:sz w:val="22"/>
                <w:szCs w:val="22"/>
                <w:lang w:eastAsia="da-DK"/>
              </w:rPr>
              <w:t>1. præmier</w:t>
            </w: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450</w:t>
            </w: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450</w:t>
            </w:r>
          </w:p>
        </w:tc>
        <w:tc>
          <w:tcPr>
            <w:tcW w:w="118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900</w:t>
            </w:r>
          </w:p>
        </w:tc>
      </w:tr>
      <w:tr w:rsidR="0068537D" w:rsidRPr="0068537D" w:rsidTr="0068537D">
        <w:trPr>
          <w:trHeight w:val="300"/>
        </w:trPr>
        <w:tc>
          <w:tcPr>
            <w:tcW w:w="39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color w:val="000000"/>
                <w:sz w:val="22"/>
                <w:szCs w:val="22"/>
                <w:lang w:eastAsia="da-DK"/>
              </w:rPr>
            </w:pPr>
            <w:r w:rsidRPr="0068537D">
              <w:rPr>
                <w:rFonts w:ascii="Calibri" w:hAnsi="Calibri"/>
                <w:color w:val="000000"/>
                <w:sz w:val="22"/>
                <w:szCs w:val="22"/>
                <w:lang w:eastAsia="da-DK"/>
              </w:rPr>
              <w:t>2. præmier</w:t>
            </w: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375</w:t>
            </w: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375</w:t>
            </w:r>
          </w:p>
        </w:tc>
        <w:tc>
          <w:tcPr>
            <w:tcW w:w="118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750</w:t>
            </w:r>
          </w:p>
        </w:tc>
      </w:tr>
      <w:tr w:rsidR="0068537D" w:rsidRPr="0068537D" w:rsidTr="0068537D">
        <w:trPr>
          <w:trHeight w:val="300"/>
        </w:trPr>
        <w:tc>
          <w:tcPr>
            <w:tcW w:w="39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color w:val="000000"/>
                <w:sz w:val="22"/>
                <w:szCs w:val="22"/>
                <w:lang w:eastAsia="da-DK"/>
              </w:rPr>
            </w:pPr>
            <w:r w:rsidRPr="0068537D">
              <w:rPr>
                <w:rFonts w:ascii="Calibri" w:hAnsi="Calibri"/>
                <w:color w:val="000000"/>
                <w:sz w:val="22"/>
                <w:szCs w:val="22"/>
                <w:lang w:eastAsia="da-DK"/>
              </w:rPr>
              <w:t>3. præmier</w:t>
            </w: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300</w:t>
            </w: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300</w:t>
            </w:r>
          </w:p>
        </w:tc>
        <w:tc>
          <w:tcPr>
            <w:tcW w:w="118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600</w:t>
            </w:r>
          </w:p>
        </w:tc>
      </w:tr>
      <w:tr w:rsidR="0068537D" w:rsidRPr="0068537D" w:rsidTr="0068537D">
        <w:trPr>
          <w:trHeight w:val="300"/>
        </w:trPr>
        <w:tc>
          <w:tcPr>
            <w:tcW w:w="39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color w:val="000000"/>
                <w:sz w:val="22"/>
                <w:szCs w:val="22"/>
                <w:lang w:eastAsia="da-DK"/>
              </w:rPr>
            </w:pPr>
            <w:r w:rsidRPr="0068537D">
              <w:rPr>
                <w:rFonts w:ascii="Calibri" w:hAnsi="Calibri"/>
                <w:color w:val="000000"/>
                <w:sz w:val="22"/>
                <w:szCs w:val="22"/>
                <w:lang w:eastAsia="da-DK"/>
              </w:rPr>
              <w:t>4. præmier</w:t>
            </w: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225</w:t>
            </w: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225</w:t>
            </w:r>
          </w:p>
        </w:tc>
        <w:tc>
          <w:tcPr>
            <w:tcW w:w="118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450</w:t>
            </w:r>
          </w:p>
        </w:tc>
      </w:tr>
      <w:tr w:rsidR="0068537D" w:rsidRPr="0068537D" w:rsidTr="0068537D">
        <w:trPr>
          <w:trHeight w:val="300"/>
        </w:trPr>
        <w:tc>
          <w:tcPr>
            <w:tcW w:w="3960" w:type="dxa"/>
            <w:tcBorders>
              <w:top w:val="nil"/>
              <w:left w:val="nil"/>
              <w:bottom w:val="single" w:sz="4" w:space="0" w:color="auto"/>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color w:val="000000"/>
                <w:sz w:val="22"/>
                <w:szCs w:val="22"/>
                <w:lang w:eastAsia="da-DK"/>
              </w:rPr>
            </w:pPr>
            <w:r w:rsidRPr="0068537D">
              <w:rPr>
                <w:rFonts w:ascii="Calibri" w:hAnsi="Calibri"/>
                <w:color w:val="000000"/>
                <w:sz w:val="22"/>
                <w:szCs w:val="22"/>
                <w:lang w:eastAsia="da-DK"/>
              </w:rPr>
              <w:t>5. præmier</w:t>
            </w:r>
          </w:p>
        </w:tc>
        <w:tc>
          <w:tcPr>
            <w:tcW w:w="1360" w:type="dxa"/>
            <w:tcBorders>
              <w:top w:val="nil"/>
              <w:left w:val="nil"/>
              <w:bottom w:val="single" w:sz="4" w:space="0" w:color="auto"/>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150</w:t>
            </w:r>
          </w:p>
        </w:tc>
        <w:tc>
          <w:tcPr>
            <w:tcW w:w="1360" w:type="dxa"/>
            <w:tcBorders>
              <w:top w:val="nil"/>
              <w:left w:val="nil"/>
              <w:bottom w:val="single" w:sz="4" w:space="0" w:color="auto"/>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150</w:t>
            </w:r>
          </w:p>
        </w:tc>
        <w:tc>
          <w:tcPr>
            <w:tcW w:w="1180" w:type="dxa"/>
            <w:tcBorders>
              <w:top w:val="nil"/>
              <w:left w:val="nil"/>
              <w:bottom w:val="single" w:sz="4" w:space="0" w:color="auto"/>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300</w:t>
            </w:r>
          </w:p>
        </w:tc>
      </w:tr>
      <w:tr w:rsidR="0068537D" w:rsidRPr="0068537D" w:rsidTr="0068537D">
        <w:trPr>
          <w:trHeight w:val="300"/>
        </w:trPr>
        <w:tc>
          <w:tcPr>
            <w:tcW w:w="39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color w:val="000000" w:themeColor="text1"/>
                <w:sz w:val="22"/>
                <w:szCs w:val="22"/>
                <w:lang w:eastAsia="da-DK"/>
              </w:rPr>
            </w:pPr>
            <w:r w:rsidRPr="0068537D">
              <w:rPr>
                <w:rFonts w:ascii="Calibri" w:hAnsi="Calibri"/>
                <w:color w:val="000000" w:themeColor="text1"/>
                <w:sz w:val="22"/>
                <w:szCs w:val="22"/>
                <w:lang w:eastAsia="da-DK"/>
              </w:rPr>
              <w:t>Teoretisk max-udlodning</w:t>
            </w: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themeColor="text1"/>
                <w:sz w:val="22"/>
                <w:szCs w:val="22"/>
                <w:lang w:eastAsia="da-DK"/>
              </w:rPr>
            </w:pPr>
            <w:r w:rsidRPr="0068537D">
              <w:rPr>
                <w:rFonts w:ascii="Calibri" w:hAnsi="Calibri"/>
                <w:color w:val="000000" w:themeColor="text1"/>
                <w:sz w:val="22"/>
                <w:szCs w:val="22"/>
                <w:lang w:eastAsia="da-DK"/>
              </w:rPr>
              <w:t>1.500</w:t>
            </w: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themeColor="text1"/>
                <w:sz w:val="22"/>
                <w:szCs w:val="22"/>
                <w:lang w:eastAsia="da-DK"/>
              </w:rPr>
            </w:pPr>
            <w:r w:rsidRPr="0068537D">
              <w:rPr>
                <w:rFonts w:ascii="Calibri" w:hAnsi="Calibri"/>
                <w:color w:val="000000" w:themeColor="text1"/>
                <w:sz w:val="22"/>
                <w:szCs w:val="22"/>
                <w:lang w:eastAsia="da-DK"/>
              </w:rPr>
              <w:t>1.500</w:t>
            </w:r>
          </w:p>
        </w:tc>
        <w:tc>
          <w:tcPr>
            <w:tcW w:w="118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themeColor="text1"/>
                <w:sz w:val="22"/>
                <w:szCs w:val="22"/>
                <w:lang w:eastAsia="da-DK"/>
              </w:rPr>
            </w:pPr>
            <w:r w:rsidRPr="0068537D">
              <w:rPr>
                <w:rFonts w:ascii="Calibri" w:hAnsi="Calibri"/>
                <w:color w:val="000000" w:themeColor="text1"/>
                <w:sz w:val="22"/>
                <w:szCs w:val="22"/>
                <w:lang w:eastAsia="da-DK"/>
              </w:rPr>
              <w:t>3.000</w:t>
            </w:r>
          </w:p>
        </w:tc>
      </w:tr>
      <w:tr w:rsidR="0068537D" w:rsidRPr="0068537D" w:rsidTr="0068537D">
        <w:trPr>
          <w:trHeight w:val="300"/>
        </w:trPr>
        <w:tc>
          <w:tcPr>
            <w:tcW w:w="39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color w:val="000000"/>
                <w:sz w:val="22"/>
                <w:szCs w:val="22"/>
                <w:lang w:eastAsia="da-DK"/>
              </w:rPr>
            </w:pPr>
            <w:r w:rsidRPr="0068537D">
              <w:rPr>
                <w:rFonts w:ascii="Calibri" w:hAnsi="Calibri"/>
                <w:color w:val="000000"/>
                <w:sz w:val="22"/>
                <w:szCs w:val="22"/>
                <w:lang w:eastAsia="da-DK"/>
              </w:rPr>
              <w:t>Skalpejæger</w:t>
            </w: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b/>
                <w:bCs/>
                <w:color w:val="000000"/>
                <w:sz w:val="22"/>
                <w:szCs w:val="22"/>
                <w:lang w:eastAsia="da-DK"/>
              </w:rPr>
            </w:pP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b/>
                <w:bCs/>
                <w:color w:val="000000"/>
                <w:sz w:val="22"/>
                <w:szCs w:val="22"/>
                <w:lang w:eastAsia="da-DK"/>
              </w:rPr>
            </w:pPr>
          </w:p>
        </w:tc>
        <w:tc>
          <w:tcPr>
            <w:tcW w:w="118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150</w:t>
            </w:r>
          </w:p>
        </w:tc>
      </w:tr>
      <w:tr w:rsidR="0068537D" w:rsidRPr="0068537D" w:rsidTr="0068537D">
        <w:trPr>
          <w:trHeight w:val="300"/>
        </w:trPr>
        <w:tc>
          <w:tcPr>
            <w:tcW w:w="3960" w:type="dxa"/>
            <w:tcBorders>
              <w:top w:val="nil"/>
              <w:left w:val="nil"/>
              <w:bottom w:val="single" w:sz="4" w:space="0" w:color="auto"/>
              <w:right w:val="nil"/>
            </w:tcBorders>
            <w:shd w:val="clear" w:color="auto" w:fill="auto"/>
            <w:noWrap/>
            <w:vAlign w:val="bottom"/>
            <w:hideMark/>
          </w:tcPr>
          <w:p w:rsidR="0068537D" w:rsidRPr="0068537D" w:rsidRDefault="001620F0" w:rsidP="00753E05">
            <w:pPr>
              <w:suppressAutoHyphens w:val="0"/>
              <w:spacing w:line="240" w:lineRule="auto"/>
              <w:rPr>
                <w:rFonts w:ascii="Calibri" w:hAnsi="Calibri"/>
                <w:color w:val="000000"/>
                <w:sz w:val="22"/>
                <w:szCs w:val="22"/>
                <w:lang w:eastAsia="da-DK"/>
              </w:rPr>
            </w:pPr>
            <w:r>
              <w:rPr>
                <w:rFonts w:ascii="Calibri" w:hAnsi="Calibri"/>
                <w:color w:val="000000"/>
                <w:sz w:val="22"/>
                <w:szCs w:val="22"/>
                <w:lang w:eastAsia="da-DK"/>
              </w:rPr>
              <w:t>Forventet præmiebortfald (15 %)</w:t>
            </w:r>
          </w:p>
        </w:tc>
        <w:tc>
          <w:tcPr>
            <w:tcW w:w="1360" w:type="dxa"/>
            <w:tcBorders>
              <w:top w:val="nil"/>
              <w:left w:val="nil"/>
              <w:bottom w:val="single" w:sz="4" w:space="0" w:color="auto"/>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p>
        </w:tc>
        <w:tc>
          <w:tcPr>
            <w:tcW w:w="1360" w:type="dxa"/>
            <w:tcBorders>
              <w:top w:val="nil"/>
              <w:left w:val="nil"/>
              <w:bottom w:val="single" w:sz="4" w:space="0" w:color="auto"/>
              <w:right w:val="nil"/>
            </w:tcBorders>
            <w:shd w:val="clear" w:color="auto" w:fill="auto"/>
            <w:noWrap/>
            <w:vAlign w:val="bottom"/>
            <w:hideMark/>
          </w:tcPr>
          <w:p w:rsidR="0068537D" w:rsidRPr="0068537D" w:rsidRDefault="0068537D" w:rsidP="001620F0">
            <w:pPr>
              <w:suppressAutoHyphens w:val="0"/>
              <w:spacing w:line="240" w:lineRule="auto"/>
              <w:jc w:val="center"/>
              <w:rPr>
                <w:rFonts w:ascii="Calibri" w:hAnsi="Calibri"/>
                <w:color w:val="000000"/>
                <w:sz w:val="22"/>
                <w:szCs w:val="22"/>
                <w:lang w:eastAsia="da-DK"/>
              </w:rPr>
            </w:pPr>
            <w:r w:rsidRPr="0068537D">
              <w:rPr>
                <w:rFonts w:ascii="Calibri" w:hAnsi="Calibri"/>
                <w:color w:val="000000"/>
                <w:sz w:val="22"/>
                <w:szCs w:val="22"/>
                <w:lang w:eastAsia="da-DK"/>
              </w:rPr>
              <w:t> </w:t>
            </w:r>
          </w:p>
        </w:tc>
        <w:tc>
          <w:tcPr>
            <w:tcW w:w="1180" w:type="dxa"/>
            <w:tcBorders>
              <w:top w:val="nil"/>
              <w:left w:val="nil"/>
              <w:bottom w:val="single" w:sz="4" w:space="0" w:color="auto"/>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-450</w:t>
            </w:r>
          </w:p>
        </w:tc>
      </w:tr>
      <w:tr w:rsidR="0068537D" w:rsidRPr="0068537D" w:rsidTr="0068537D">
        <w:trPr>
          <w:trHeight w:val="300"/>
        </w:trPr>
        <w:tc>
          <w:tcPr>
            <w:tcW w:w="39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color w:val="000000"/>
                <w:sz w:val="22"/>
                <w:szCs w:val="22"/>
                <w:lang w:eastAsia="da-DK"/>
              </w:rPr>
            </w:pPr>
            <w:r w:rsidRPr="0068537D">
              <w:rPr>
                <w:rFonts w:ascii="Calibri" w:hAnsi="Calibri"/>
                <w:color w:val="000000"/>
                <w:sz w:val="22"/>
                <w:szCs w:val="22"/>
                <w:lang w:eastAsia="da-DK"/>
              </w:rPr>
              <w:t>Samlet budgetteret præmiepulje</w:t>
            </w:r>
            <w:r w:rsidR="003C0269">
              <w:rPr>
                <w:rFonts w:ascii="Calibri" w:hAnsi="Calibri"/>
                <w:color w:val="000000"/>
                <w:sz w:val="22"/>
                <w:szCs w:val="22"/>
                <w:lang w:eastAsia="da-DK"/>
              </w:rPr>
              <w:t xml:space="preserve"> 2015</w:t>
            </w:r>
            <w:r w:rsidR="00753E05">
              <w:rPr>
                <w:rStyle w:val="Fodnotehenvisning"/>
                <w:rFonts w:asciiTheme="minorHAnsi" w:hAnsiTheme="minorHAnsi"/>
                <w:szCs w:val="20"/>
              </w:rPr>
              <w:footnoteReference w:id="1"/>
            </w: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color w:val="000000"/>
                <w:sz w:val="22"/>
                <w:szCs w:val="22"/>
                <w:lang w:eastAsia="da-DK"/>
              </w:rPr>
            </w:pPr>
            <w:r w:rsidRPr="0068537D">
              <w:rPr>
                <w:rFonts w:ascii="Calibri" w:hAnsi="Calibri"/>
                <w:color w:val="000000"/>
                <w:sz w:val="22"/>
                <w:szCs w:val="22"/>
                <w:lang w:eastAsia="da-DK"/>
              </w:rPr>
              <w:t> </w:t>
            </w: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 </w:t>
            </w:r>
          </w:p>
        </w:tc>
        <w:tc>
          <w:tcPr>
            <w:tcW w:w="118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2.700</w:t>
            </w:r>
          </w:p>
        </w:tc>
      </w:tr>
      <w:tr w:rsidR="0068537D" w:rsidRPr="0068537D" w:rsidTr="0068537D">
        <w:trPr>
          <w:trHeight w:val="300"/>
        </w:trPr>
        <w:tc>
          <w:tcPr>
            <w:tcW w:w="3960" w:type="dxa"/>
            <w:tcBorders>
              <w:top w:val="nil"/>
              <w:left w:val="nil"/>
              <w:bottom w:val="single" w:sz="4" w:space="0" w:color="auto"/>
              <w:right w:val="nil"/>
            </w:tcBorders>
            <w:shd w:val="clear" w:color="auto" w:fill="auto"/>
            <w:noWrap/>
            <w:vAlign w:val="bottom"/>
            <w:hideMark/>
          </w:tcPr>
          <w:p w:rsidR="0068537D" w:rsidRPr="0068537D" w:rsidRDefault="003C0269" w:rsidP="0068537D">
            <w:pPr>
              <w:suppressAutoHyphens w:val="0"/>
              <w:spacing w:line="240" w:lineRule="auto"/>
              <w:rPr>
                <w:rFonts w:ascii="Calibri" w:hAnsi="Calibri"/>
                <w:color w:val="000000"/>
                <w:sz w:val="22"/>
                <w:szCs w:val="22"/>
                <w:lang w:eastAsia="da-DK"/>
              </w:rPr>
            </w:pPr>
            <w:r>
              <w:rPr>
                <w:rFonts w:ascii="Calibri" w:hAnsi="Calibri"/>
                <w:color w:val="000000"/>
                <w:sz w:val="22"/>
                <w:szCs w:val="22"/>
                <w:lang w:eastAsia="da-DK"/>
              </w:rPr>
              <w:t xml:space="preserve">Reserve / </w:t>
            </w:r>
            <w:proofErr w:type="spellStart"/>
            <w:r>
              <w:rPr>
                <w:rFonts w:ascii="Calibri" w:hAnsi="Calibri"/>
                <w:color w:val="000000"/>
                <w:sz w:val="22"/>
                <w:szCs w:val="22"/>
                <w:lang w:eastAsia="da-DK"/>
              </w:rPr>
              <w:t>udforudsete</w:t>
            </w:r>
            <w:proofErr w:type="spellEnd"/>
            <w:r>
              <w:rPr>
                <w:rFonts w:ascii="Calibri" w:hAnsi="Calibri"/>
                <w:color w:val="000000"/>
                <w:sz w:val="22"/>
                <w:szCs w:val="22"/>
                <w:lang w:eastAsia="da-DK"/>
              </w:rPr>
              <w:t xml:space="preserve"> udgifter</w:t>
            </w:r>
          </w:p>
        </w:tc>
        <w:tc>
          <w:tcPr>
            <w:tcW w:w="1360" w:type="dxa"/>
            <w:tcBorders>
              <w:top w:val="nil"/>
              <w:left w:val="nil"/>
              <w:bottom w:val="single" w:sz="4" w:space="0" w:color="auto"/>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color w:val="000000"/>
                <w:sz w:val="22"/>
                <w:szCs w:val="22"/>
                <w:lang w:eastAsia="da-DK"/>
              </w:rPr>
            </w:pPr>
            <w:r w:rsidRPr="0068537D">
              <w:rPr>
                <w:rFonts w:ascii="Calibri" w:hAnsi="Calibri"/>
                <w:color w:val="000000"/>
                <w:sz w:val="22"/>
                <w:szCs w:val="22"/>
                <w:lang w:eastAsia="da-DK"/>
              </w:rPr>
              <w:t> </w:t>
            </w:r>
          </w:p>
        </w:tc>
        <w:tc>
          <w:tcPr>
            <w:tcW w:w="1360" w:type="dxa"/>
            <w:tcBorders>
              <w:top w:val="nil"/>
              <w:left w:val="nil"/>
              <w:bottom w:val="single" w:sz="4" w:space="0" w:color="auto"/>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 </w:t>
            </w:r>
          </w:p>
        </w:tc>
        <w:tc>
          <w:tcPr>
            <w:tcW w:w="1180" w:type="dxa"/>
            <w:tcBorders>
              <w:top w:val="nil"/>
              <w:left w:val="nil"/>
              <w:bottom w:val="single" w:sz="4" w:space="0" w:color="auto"/>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755</w:t>
            </w:r>
          </w:p>
        </w:tc>
      </w:tr>
      <w:tr w:rsidR="0068537D" w:rsidRPr="0068537D" w:rsidTr="0068537D">
        <w:trPr>
          <w:trHeight w:val="300"/>
        </w:trPr>
        <w:tc>
          <w:tcPr>
            <w:tcW w:w="39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color w:val="000000"/>
                <w:sz w:val="22"/>
                <w:szCs w:val="22"/>
                <w:lang w:eastAsia="da-DK"/>
              </w:rPr>
            </w:pPr>
            <w:r w:rsidRPr="0068537D">
              <w:rPr>
                <w:rFonts w:ascii="Calibri" w:hAnsi="Calibri"/>
                <w:color w:val="000000"/>
                <w:sz w:val="22"/>
                <w:szCs w:val="22"/>
                <w:lang w:eastAsia="da-DK"/>
              </w:rPr>
              <w:t>Samlede passiver</w:t>
            </w: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color w:val="000000"/>
                <w:sz w:val="22"/>
                <w:szCs w:val="22"/>
                <w:lang w:eastAsia="da-DK"/>
              </w:rPr>
            </w:pP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p>
        </w:tc>
        <w:tc>
          <w:tcPr>
            <w:tcW w:w="118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3.455</w:t>
            </w:r>
          </w:p>
        </w:tc>
      </w:tr>
      <w:tr w:rsidR="0068537D" w:rsidRPr="0068537D" w:rsidTr="0068537D">
        <w:trPr>
          <w:trHeight w:val="540"/>
        </w:trPr>
        <w:tc>
          <w:tcPr>
            <w:tcW w:w="39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color w:val="000000"/>
                <w:sz w:val="22"/>
                <w:szCs w:val="22"/>
                <w:lang w:eastAsia="da-DK"/>
              </w:rPr>
            </w:pPr>
            <w:r w:rsidRPr="0068537D">
              <w:rPr>
                <w:rFonts w:ascii="Calibri" w:hAnsi="Calibri"/>
                <w:color w:val="000000"/>
                <w:sz w:val="22"/>
                <w:szCs w:val="22"/>
                <w:lang w:eastAsia="da-DK"/>
              </w:rPr>
              <w:t>Kontingenter 2015</w:t>
            </w: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b/>
                <w:bCs/>
                <w:color w:val="000000"/>
                <w:sz w:val="22"/>
                <w:szCs w:val="22"/>
                <w:lang w:eastAsia="da-DK"/>
              </w:rPr>
            </w:pP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b/>
                <w:bCs/>
                <w:color w:val="000000"/>
                <w:sz w:val="22"/>
                <w:szCs w:val="22"/>
                <w:lang w:eastAsia="da-DK"/>
              </w:rPr>
            </w:pPr>
          </w:p>
        </w:tc>
        <w:tc>
          <w:tcPr>
            <w:tcW w:w="118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2.750</w:t>
            </w:r>
          </w:p>
        </w:tc>
      </w:tr>
      <w:tr w:rsidR="0068537D" w:rsidRPr="0068537D" w:rsidTr="0068537D">
        <w:trPr>
          <w:trHeight w:val="300"/>
        </w:trPr>
        <w:tc>
          <w:tcPr>
            <w:tcW w:w="3960" w:type="dxa"/>
            <w:tcBorders>
              <w:top w:val="nil"/>
              <w:left w:val="nil"/>
              <w:bottom w:val="single" w:sz="4" w:space="0" w:color="auto"/>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color w:val="000000"/>
                <w:sz w:val="22"/>
                <w:szCs w:val="22"/>
                <w:lang w:eastAsia="da-DK"/>
              </w:rPr>
            </w:pPr>
            <w:r w:rsidRPr="0068537D">
              <w:rPr>
                <w:rFonts w:ascii="Calibri" w:hAnsi="Calibri"/>
                <w:color w:val="000000"/>
                <w:sz w:val="22"/>
                <w:szCs w:val="22"/>
                <w:lang w:eastAsia="da-DK"/>
              </w:rPr>
              <w:t>Overført fra 2014</w:t>
            </w:r>
          </w:p>
        </w:tc>
        <w:tc>
          <w:tcPr>
            <w:tcW w:w="1360" w:type="dxa"/>
            <w:tcBorders>
              <w:top w:val="nil"/>
              <w:left w:val="nil"/>
              <w:bottom w:val="single" w:sz="4" w:space="0" w:color="auto"/>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b/>
                <w:bCs/>
                <w:color w:val="000000"/>
                <w:sz w:val="22"/>
                <w:szCs w:val="22"/>
                <w:lang w:eastAsia="da-DK"/>
              </w:rPr>
            </w:pPr>
            <w:r w:rsidRPr="0068537D">
              <w:rPr>
                <w:rFonts w:ascii="Calibri" w:hAnsi="Calibri"/>
                <w:b/>
                <w:bCs/>
                <w:color w:val="000000"/>
                <w:sz w:val="22"/>
                <w:szCs w:val="22"/>
                <w:lang w:eastAsia="da-DK"/>
              </w:rPr>
              <w:t> </w:t>
            </w:r>
          </w:p>
        </w:tc>
        <w:tc>
          <w:tcPr>
            <w:tcW w:w="1360" w:type="dxa"/>
            <w:tcBorders>
              <w:top w:val="nil"/>
              <w:left w:val="nil"/>
              <w:bottom w:val="single" w:sz="4" w:space="0" w:color="auto"/>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b/>
                <w:bCs/>
                <w:color w:val="000000"/>
                <w:sz w:val="22"/>
                <w:szCs w:val="22"/>
                <w:lang w:eastAsia="da-DK"/>
              </w:rPr>
            </w:pPr>
            <w:r w:rsidRPr="0068537D">
              <w:rPr>
                <w:rFonts w:ascii="Calibri" w:hAnsi="Calibri"/>
                <w:b/>
                <w:bCs/>
                <w:color w:val="000000"/>
                <w:sz w:val="22"/>
                <w:szCs w:val="22"/>
                <w:lang w:eastAsia="da-DK"/>
              </w:rPr>
              <w:t> </w:t>
            </w:r>
          </w:p>
        </w:tc>
        <w:tc>
          <w:tcPr>
            <w:tcW w:w="1180" w:type="dxa"/>
            <w:tcBorders>
              <w:top w:val="nil"/>
              <w:left w:val="nil"/>
              <w:bottom w:val="single" w:sz="4" w:space="0" w:color="auto"/>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705</w:t>
            </w:r>
          </w:p>
        </w:tc>
      </w:tr>
      <w:tr w:rsidR="0068537D" w:rsidRPr="0068537D" w:rsidTr="0068537D">
        <w:trPr>
          <w:trHeight w:val="300"/>
        </w:trPr>
        <w:tc>
          <w:tcPr>
            <w:tcW w:w="39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color w:val="000000"/>
                <w:sz w:val="22"/>
                <w:szCs w:val="22"/>
                <w:lang w:eastAsia="da-DK"/>
              </w:rPr>
            </w:pPr>
            <w:r w:rsidRPr="0068537D">
              <w:rPr>
                <w:rFonts w:ascii="Calibri" w:hAnsi="Calibri"/>
                <w:color w:val="000000"/>
                <w:sz w:val="22"/>
                <w:szCs w:val="22"/>
                <w:lang w:eastAsia="da-DK"/>
              </w:rPr>
              <w:t>Samlede aktiver</w:t>
            </w: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rPr>
                <w:rFonts w:ascii="Calibri" w:hAnsi="Calibri"/>
                <w:b/>
                <w:bCs/>
                <w:color w:val="000000"/>
                <w:sz w:val="22"/>
                <w:szCs w:val="22"/>
                <w:lang w:eastAsia="da-DK"/>
              </w:rPr>
            </w:pPr>
          </w:p>
        </w:tc>
        <w:tc>
          <w:tcPr>
            <w:tcW w:w="136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b/>
                <w:bCs/>
                <w:color w:val="000000"/>
                <w:sz w:val="22"/>
                <w:szCs w:val="22"/>
                <w:lang w:eastAsia="da-DK"/>
              </w:rPr>
            </w:pPr>
          </w:p>
        </w:tc>
        <w:tc>
          <w:tcPr>
            <w:tcW w:w="1180" w:type="dxa"/>
            <w:tcBorders>
              <w:top w:val="nil"/>
              <w:left w:val="nil"/>
              <w:bottom w:val="nil"/>
              <w:right w:val="nil"/>
            </w:tcBorders>
            <w:shd w:val="clear" w:color="auto" w:fill="auto"/>
            <w:noWrap/>
            <w:vAlign w:val="bottom"/>
            <w:hideMark/>
          </w:tcPr>
          <w:p w:rsidR="0068537D" w:rsidRPr="0068537D" w:rsidRDefault="0068537D" w:rsidP="0068537D">
            <w:pPr>
              <w:suppressAutoHyphens w:val="0"/>
              <w:spacing w:line="240" w:lineRule="auto"/>
              <w:jc w:val="right"/>
              <w:rPr>
                <w:rFonts w:ascii="Calibri" w:hAnsi="Calibri"/>
                <w:color w:val="000000"/>
                <w:sz w:val="22"/>
                <w:szCs w:val="22"/>
                <w:lang w:eastAsia="da-DK"/>
              </w:rPr>
            </w:pPr>
            <w:r w:rsidRPr="0068537D">
              <w:rPr>
                <w:rFonts w:ascii="Calibri" w:hAnsi="Calibri"/>
                <w:color w:val="000000"/>
                <w:sz w:val="22"/>
                <w:szCs w:val="22"/>
                <w:lang w:eastAsia="da-DK"/>
              </w:rPr>
              <w:t>3.455</w:t>
            </w:r>
          </w:p>
        </w:tc>
      </w:tr>
    </w:tbl>
    <w:p w:rsidR="0068537D" w:rsidRDefault="0068537D">
      <w:pPr>
        <w:rPr>
          <w:b/>
          <w:szCs w:val="20"/>
        </w:rPr>
      </w:pPr>
    </w:p>
    <w:sectPr w:rsidR="0068537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B1" w:rsidRDefault="00690BB1" w:rsidP="003C0269">
      <w:pPr>
        <w:spacing w:line="240" w:lineRule="auto"/>
      </w:pPr>
      <w:r>
        <w:separator/>
      </w:r>
    </w:p>
  </w:endnote>
  <w:endnote w:type="continuationSeparator" w:id="0">
    <w:p w:rsidR="00690BB1" w:rsidRDefault="00690BB1" w:rsidP="003C0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B1" w:rsidRDefault="00690BB1" w:rsidP="003C0269">
      <w:pPr>
        <w:spacing w:line="240" w:lineRule="auto"/>
      </w:pPr>
      <w:r>
        <w:separator/>
      </w:r>
    </w:p>
  </w:footnote>
  <w:footnote w:type="continuationSeparator" w:id="0">
    <w:p w:rsidR="00690BB1" w:rsidRDefault="00690BB1" w:rsidP="003C0269">
      <w:pPr>
        <w:spacing w:line="240" w:lineRule="auto"/>
      </w:pPr>
      <w:r>
        <w:continuationSeparator/>
      </w:r>
    </w:p>
  </w:footnote>
  <w:footnote w:id="1">
    <w:p w:rsidR="00753E05" w:rsidRDefault="00753E05" w:rsidP="00753E05">
      <w:pPr>
        <w:pStyle w:val="Fodnotetekst"/>
        <w:rPr>
          <w:rFonts w:asciiTheme="minorHAnsi" w:hAnsiTheme="minorHAnsi"/>
        </w:rPr>
      </w:pPr>
      <w:r>
        <w:rPr>
          <w:rStyle w:val="Fodnotehenvisning"/>
        </w:rPr>
        <w:footnoteRef/>
      </w:r>
      <w:r>
        <w:t xml:space="preserve"> </w:t>
      </w:r>
      <w:r>
        <w:rPr>
          <w:rFonts w:asciiTheme="minorHAnsi" w:hAnsiTheme="minorHAnsi"/>
        </w:rPr>
        <w:t>Den samlede p</w:t>
      </w:r>
      <w:r>
        <w:rPr>
          <w:rFonts w:asciiTheme="minorHAnsi" w:hAnsiTheme="minorHAnsi"/>
        </w:rPr>
        <w:t>ræmie</w:t>
      </w:r>
      <w:r>
        <w:rPr>
          <w:rFonts w:asciiTheme="minorHAnsi" w:hAnsiTheme="minorHAnsi"/>
        </w:rPr>
        <w:t>udlodning er anslået</w:t>
      </w:r>
      <w:r w:rsidRPr="002468A9">
        <w:rPr>
          <w:rFonts w:asciiTheme="minorHAnsi" w:hAnsiTheme="minorHAnsi"/>
        </w:rPr>
        <w:t xml:space="preserve">. Den endelige </w:t>
      </w:r>
      <w:r>
        <w:rPr>
          <w:rFonts w:asciiTheme="minorHAnsi" w:hAnsiTheme="minorHAnsi"/>
        </w:rPr>
        <w:t xml:space="preserve">udlodning </w:t>
      </w:r>
      <w:r w:rsidRPr="002468A9">
        <w:rPr>
          <w:rFonts w:asciiTheme="minorHAnsi" w:hAnsiTheme="minorHAnsi"/>
        </w:rPr>
        <w:t xml:space="preserve">beror på omfanget af ”præmiebortfald.” </w:t>
      </w:r>
      <w:r>
        <w:rPr>
          <w:rFonts w:asciiTheme="minorHAnsi" w:hAnsiTheme="minorHAnsi"/>
        </w:rPr>
        <w:br/>
      </w:r>
      <w:r w:rsidRPr="002468A9">
        <w:rPr>
          <w:rFonts w:asciiTheme="minorHAnsi" w:hAnsiTheme="minorHAnsi"/>
        </w:rPr>
        <w:t>Hvis dette er mindre end de budgettere</w:t>
      </w:r>
      <w:r>
        <w:rPr>
          <w:rFonts w:asciiTheme="minorHAnsi" w:hAnsiTheme="minorHAnsi"/>
        </w:rPr>
        <w:t>de 15 %</w:t>
      </w:r>
      <w:r>
        <w:rPr>
          <w:rFonts w:asciiTheme="minorHAnsi" w:hAnsiTheme="minorHAnsi"/>
        </w:rPr>
        <w:t xml:space="preserve"> (</w:t>
      </w:r>
      <w:bookmarkStart w:id="0" w:name="_GoBack"/>
      <w:bookmarkEnd w:id="0"/>
      <w:r>
        <w:rPr>
          <w:rFonts w:asciiTheme="minorHAnsi" w:hAnsiTheme="minorHAnsi"/>
        </w:rPr>
        <w:t>450 kr.)</w:t>
      </w:r>
      <w:r>
        <w:rPr>
          <w:rFonts w:asciiTheme="minorHAnsi" w:hAnsiTheme="minorHAnsi"/>
        </w:rPr>
        <w:t xml:space="preserve">, så </w:t>
      </w:r>
      <w:r>
        <w:rPr>
          <w:rFonts w:asciiTheme="minorHAnsi" w:hAnsiTheme="minorHAnsi"/>
        </w:rPr>
        <w:t>afholdes merudgiften over reservepuljen.</w:t>
      </w:r>
      <w:r w:rsidRPr="002468A9">
        <w:rPr>
          <w:rFonts w:asciiTheme="minorHAnsi" w:hAnsiTheme="minorHAnsi"/>
        </w:rPr>
        <w:t xml:space="preserve"> </w:t>
      </w:r>
      <w:r>
        <w:rPr>
          <w:rFonts w:asciiTheme="minorHAnsi" w:hAnsiTheme="minorHAnsi"/>
        </w:rPr>
        <w:br/>
      </w:r>
      <w:r w:rsidRPr="002468A9">
        <w:rPr>
          <w:rFonts w:asciiTheme="minorHAnsi" w:hAnsiTheme="minorHAnsi"/>
        </w:rPr>
        <w:t xml:space="preserve">Hvis præmiebortfaldet er større end de budgetterede 15 %, </w:t>
      </w:r>
      <w:r>
        <w:rPr>
          <w:rFonts w:asciiTheme="minorHAnsi" w:hAnsiTheme="minorHAnsi"/>
        </w:rPr>
        <w:t xml:space="preserve">så </w:t>
      </w:r>
      <w:r w:rsidRPr="002468A9">
        <w:rPr>
          <w:rFonts w:asciiTheme="minorHAnsi" w:hAnsiTheme="minorHAnsi"/>
        </w:rPr>
        <w:t>overføres det overskydende beløb til klubkassen.</w:t>
      </w:r>
    </w:p>
    <w:p w:rsidR="00753E05" w:rsidRDefault="00753E05" w:rsidP="00753E05">
      <w:pPr>
        <w:pStyle w:val="Fodnotetekst"/>
        <w:rPr>
          <w:rFonts w:asciiTheme="minorHAnsi" w:hAnsiTheme="minorHAnsi"/>
        </w:rPr>
      </w:pPr>
    </w:p>
    <w:p w:rsidR="00753E05" w:rsidRDefault="00753E05" w:rsidP="00753E05">
      <w:pPr>
        <w:pStyle w:val="Fodnote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D4"/>
    <w:rsid w:val="00067C80"/>
    <w:rsid w:val="000A78E7"/>
    <w:rsid w:val="001620F0"/>
    <w:rsid w:val="002468A9"/>
    <w:rsid w:val="003C0269"/>
    <w:rsid w:val="00565C89"/>
    <w:rsid w:val="0068537D"/>
    <w:rsid w:val="00690BB1"/>
    <w:rsid w:val="00753E05"/>
    <w:rsid w:val="007F0A28"/>
    <w:rsid w:val="008819AD"/>
    <w:rsid w:val="009049C0"/>
    <w:rsid w:val="00913568"/>
    <w:rsid w:val="00AF4D03"/>
    <w:rsid w:val="00B94DD4"/>
    <w:rsid w:val="00E04639"/>
    <w:rsid w:val="00E334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03"/>
    <w:pPr>
      <w:suppressAutoHyphens/>
      <w:spacing w:line="260" w:lineRule="atLeast"/>
    </w:pPr>
    <w:rPr>
      <w:rFonts w:ascii="Georgia" w:hAnsi="Georgia"/>
      <w:szCs w:val="24"/>
    </w:rPr>
  </w:style>
  <w:style w:type="paragraph" w:styleId="Overskrift1">
    <w:name w:val="heading 1"/>
    <w:basedOn w:val="Normal"/>
    <w:next w:val="Normal"/>
    <w:link w:val="Overskrift1Tegn"/>
    <w:qFormat/>
    <w:rsid w:val="00AF4D03"/>
    <w:pPr>
      <w:keepNex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F4D03"/>
    <w:rPr>
      <w:rFonts w:ascii="Georgia" w:hAnsi="Georgia" w:cs="Arial"/>
      <w:b/>
      <w:bCs/>
      <w:szCs w:val="32"/>
    </w:rPr>
  </w:style>
  <w:style w:type="paragraph" w:styleId="Listeafsnit">
    <w:name w:val="List Paragraph"/>
    <w:basedOn w:val="Normal"/>
    <w:uiPriority w:val="34"/>
    <w:qFormat/>
    <w:rsid w:val="00AF4D03"/>
    <w:pPr>
      <w:ind w:left="720"/>
      <w:contextualSpacing/>
    </w:pPr>
  </w:style>
  <w:style w:type="table" w:styleId="Tabel-Gitter">
    <w:name w:val="Table Grid"/>
    <w:basedOn w:val="Tabel-Normal"/>
    <w:uiPriority w:val="59"/>
    <w:rsid w:val="00B94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3C0269"/>
    <w:pPr>
      <w:spacing w:line="240" w:lineRule="auto"/>
    </w:pPr>
    <w:rPr>
      <w:szCs w:val="20"/>
    </w:rPr>
  </w:style>
  <w:style w:type="character" w:customStyle="1" w:styleId="FodnotetekstTegn">
    <w:name w:val="Fodnotetekst Tegn"/>
    <w:basedOn w:val="Standardskrifttypeiafsnit"/>
    <w:link w:val="Fodnotetekst"/>
    <w:uiPriority w:val="99"/>
    <w:semiHidden/>
    <w:rsid w:val="003C0269"/>
    <w:rPr>
      <w:rFonts w:ascii="Georgia" w:hAnsi="Georgia"/>
    </w:rPr>
  </w:style>
  <w:style w:type="character" w:styleId="Fodnotehenvisning">
    <w:name w:val="footnote reference"/>
    <w:basedOn w:val="Standardskrifttypeiafsnit"/>
    <w:uiPriority w:val="99"/>
    <w:semiHidden/>
    <w:unhideWhenUsed/>
    <w:rsid w:val="003C02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03"/>
    <w:pPr>
      <w:suppressAutoHyphens/>
      <w:spacing w:line="260" w:lineRule="atLeast"/>
    </w:pPr>
    <w:rPr>
      <w:rFonts w:ascii="Georgia" w:hAnsi="Georgia"/>
      <w:szCs w:val="24"/>
    </w:rPr>
  </w:style>
  <w:style w:type="paragraph" w:styleId="Overskrift1">
    <w:name w:val="heading 1"/>
    <w:basedOn w:val="Normal"/>
    <w:next w:val="Normal"/>
    <w:link w:val="Overskrift1Tegn"/>
    <w:qFormat/>
    <w:rsid w:val="00AF4D03"/>
    <w:pPr>
      <w:keepNex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F4D03"/>
    <w:rPr>
      <w:rFonts w:ascii="Georgia" w:hAnsi="Georgia" w:cs="Arial"/>
      <w:b/>
      <w:bCs/>
      <w:szCs w:val="32"/>
    </w:rPr>
  </w:style>
  <w:style w:type="paragraph" w:styleId="Listeafsnit">
    <w:name w:val="List Paragraph"/>
    <w:basedOn w:val="Normal"/>
    <w:uiPriority w:val="34"/>
    <w:qFormat/>
    <w:rsid w:val="00AF4D03"/>
    <w:pPr>
      <w:ind w:left="720"/>
      <w:contextualSpacing/>
    </w:pPr>
  </w:style>
  <w:style w:type="table" w:styleId="Tabel-Gitter">
    <w:name w:val="Table Grid"/>
    <w:basedOn w:val="Tabel-Normal"/>
    <w:uiPriority w:val="59"/>
    <w:rsid w:val="00B94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3C0269"/>
    <w:pPr>
      <w:spacing w:line="240" w:lineRule="auto"/>
    </w:pPr>
    <w:rPr>
      <w:szCs w:val="20"/>
    </w:rPr>
  </w:style>
  <w:style w:type="character" w:customStyle="1" w:styleId="FodnotetekstTegn">
    <w:name w:val="Fodnotetekst Tegn"/>
    <w:basedOn w:val="Standardskrifttypeiafsnit"/>
    <w:link w:val="Fodnotetekst"/>
    <w:uiPriority w:val="99"/>
    <w:semiHidden/>
    <w:rsid w:val="003C0269"/>
    <w:rPr>
      <w:rFonts w:ascii="Georgia" w:hAnsi="Georgia"/>
    </w:rPr>
  </w:style>
  <w:style w:type="character" w:styleId="Fodnotehenvisning">
    <w:name w:val="footnote reference"/>
    <w:basedOn w:val="Standardskrifttypeiafsnit"/>
    <w:uiPriority w:val="99"/>
    <w:semiHidden/>
    <w:unhideWhenUsed/>
    <w:rsid w:val="003C02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6570">
      <w:bodyDiv w:val="1"/>
      <w:marLeft w:val="0"/>
      <w:marRight w:val="0"/>
      <w:marTop w:val="0"/>
      <w:marBottom w:val="0"/>
      <w:divBdr>
        <w:top w:val="none" w:sz="0" w:space="0" w:color="auto"/>
        <w:left w:val="none" w:sz="0" w:space="0" w:color="auto"/>
        <w:bottom w:val="none" w:sz="0" w:space="0" w:color="auto"/>
        <w:right w:val="none" w:sz="0" w:space="0" w:color="auto"/>
      </w:divBdr>
    </w:div>
    <w:div w:id="959917145">
      <w:bodyDiv w:val="1"/>
      <w:marLeft w:val="0"/>
      <w:marRight w:val="0"/>
      <w:marTop w:val="0"/>
      <w:marBottom w:val="0"/>
      <w:divBdr>
        <w:top w:val="none" w:sz="0" w:space="0" w:color="auto"/>
        <w:left w:val="none" w:sz="0" w:space="0" w:color="auto"/>
        <w:bottom w:val="none" w:sz="0" w:space="0" w:color="auto"/>
        <w:right w:val="none" w:sz="0" w:space="0" w:color="auto"/>
      </w:divBdr>
    </w:div>
    <w:div w:id="1827430481">
      <w:bodyDiv w:val="1"/>
      <w:marLeft w:val="0"/>
      <w:marRight w:val="0"/>
      <w:marTop w:val="0"/>
      <w:marBottom w:val="0"/>
      <w:divBdr>
        <w:top w:val="none" w:sz="0" w:space="0" w:color="auto"/>
        <w:left w:val="none" w:sz="0" w:space="0" w:color="auto"/>
        <w:bottom w:val="none" w:sz="0" w:space="0" w:color="auto"/>
        <w:right w:val="none" w:sz="0" w:space="0" w:color="auto"/>
      </w:divBdr>
    </w:div>
    <w:div w:id="21282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8FE0-E6EF-4EA8-B862-B217CB1C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Lundmark Jensen</dc:creator>
  <cp:lastModifiedBy>Christian Lundmark Jensen</cp:lastModifiedBy>
  <cp:revision>2</cp:revision>
  <dcterms:created xsi:type="dcterms:W3CDTF">2015-01-23T00:02:00Z</dcterms:created>
  <dcterms:modified xsi:type="dcterms:W3CDTF">2015-01-23T00:02:00Z</dcterms:modified>
</cp:coreProperties>
</file>